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E6F9" w14:textId="05A1739E" w:rsidR="004A0BAD" w:rsidRDefault="002A502F" w:rsidP="00853560">
      <w:pPr>
        <w:pStyle w:val="Heading1"/>
        <w:rPr>
          <w:lang w:val="en-GB"/>
        </w:rPr>
      </w:pPr>
      <w:bookmarkStart w:id="0" w:name="_Toc517971725"/>
      <w:r>
        <w:rPr>
          <w:lang w:val="en-GB"/>
        </w:rPr>
        <w:t xml:space="preserve">REFUNDS AND </w:t>
      </w:r>
      <w:r w:rsidR="004A0BAD">
        <w:rPr>
          <w:lang w:val="en-GB"/>
        </w:rPr>
        <w:t xml:space="preserve">WITHDRAWALS </w:t>
      </w:r>
      <w:bookmarkEnd w:id="0"/>
      <w:r w:rsidR="00853560">
        <w:rPr>
          <w:lang w:val="en-GB"/>
        </w:rPr>
        <w:t>POLICY</w:t>
      </w:r>
    </w:p>
    <w:p w14:paraId="20E9113E" w14:textId="77777777" w:rsidR="00C742AE" w:rsidRPr="00C742AE" w:rsidRDefault="00C742AE" w:rsidP="00853560">
      <w:pPr>
        <w:rPr>
          <w:lang w:val="en-GB"/>
        </w:rPr>
      </w:pPr>
    </w:p>
    <w:p w14:paraId="150BBEF8" w14:textId="4A9433EC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Situations may arise where a student choses to withdraw from a course or from the University.  These policies and procedures provide the </w:t>
      </w:r>
      <w:r w:rsidR="002A502F">
        <w:rPr>
          <w:lang w:val="en-GB"/>
        </w:rPr>
        <w:t>financial regulations</w:t>
      </w:r>
      <w:r>
        <w:rPr>
          <w:lang w:val="en-GB"/>
        </w:rPr>
        <w:t xml:space="preserve"> gov</w:t>
      </w:r>
      <w:r w:rsidR="008071FF">
        <w:rPr>
          <w:lang w:val="en-GB"/>
        </w:rPr>
        <w:t>ern</w:t>
      </w:r>
      <w:r>
        <w:rPr>
          <w:lang w:val="en-GB"/>
        </w:rPr>
        <w:t xml:space="preserve">ing this. </w:t>
      </w:r>
    </w:p>
    <w:p w14:paraId="7EA9E1C5" w14:textId="77777777" w:rsidR="004A0BAD" w:rsidRDefault="004A0BAD" w:rsidP="004A0BAD">
      <w:pPr>
        <w:pStyle w:val="ListParagraph"/>
        <w:ind w:left="360"/>
        <w:rPr>
          <w:lang w:val="en-GB"/>
        </w:rPr>
      </w:pPr>
    </w:p>
    <w:p w14:paraId="56472CD0" w14:textId="616E301E" w:rsidR="004A0BAD" w:rsidRPr="00400E84" w:rsidRDefault="00400E84" w:rsidP="00400E84">
      <w:pPr>
        <w:pStyle w:val="ListParagraph"/>
        <w:numPr>
          <w:ilvl w:val="0"/>
          <w:numId w:val="1"/>
        </w:numPr>
        <w:rPr>
          <w:lang w:val="en-GB"/>
        </w:rPr>
      </w:pPr>
      <w:r w:rsidRPr="00400E84">
        <w:rPr>
          <w:lang w:val="en-GB"/>
        </w:rPr>
        <w:t xml:space="preserve">New students who require a visa to study in the UK are not normally eligible for a refund of deposits or fees. However if a visa denial  letter from the UKVI is issued and forwarded to the Finance Department within four weeks, deposits and fees will be refunded. </w:t>
      </w:r>
    </w:p>
    <w:p w14:paraId="038F1749" w14:textId="77777777" w:rsidR="004A0BAD" w:rsidRDefault="004A0BAD" w:rsidP="004A0BAD">
      <w:pPr>
        <w:pStyle w:val="ListParagraph"/>
        <w:ind w:left="360"/>
        <w:rPr>
          <w:lang w:val="en-GB"/>
        </w:rPr>
      </w:pPr>
    </w:p>
    <w:p w14:paraId="237CF854" w14:textId="6FDA97D2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existing students t</w:t>
      </w:r>
      <w:r w:rsidRPr="007C16A5">
        <w:rPr>
          <w:lang w:val="en-GB"/>
        </w:rPr>
        <w:t>o be eligible for a tuition refund, the student must</w:t>
      </w:r>
      <w:r>
        <w:rPr>
          <w:lang w:val="en-GB"/>
        </w:rPr>
        <w:t xml:space="preserve"> </w:t>
      </w:r>
      <w:r w:rsidRPr="007C16A5">
        <w:rPr>
          <w:lang w:val="en-GB"/>
        </w:rPr>
        <w:t>have completed fully and within the necessary time</w:t>
      </w:r>
      <w:r>
        <w:rPr>
          <w:lang w:val="en-GB"/>
        </w:rPr>
        <w:t xml:space="preserve"> </w:t>
      </w:r>
      <w:r w:rsidRPr="007C16A5">
        <w:rPr>
          <w:lang w:val="en-GB"/>
        </w:rPr>
        <w:t>frame the University’s requirements for payment and</w:t>
      </w:r>
      <w:r>
        <w:rPr>
          <w:lang w:val="en-GB"/>
        </w:rPr>
        <w:t xml:space="preserve"> </w:t>
      </w:r>
      <w:r w:rsidRPr="007C16A5">
        <w:rPr>
          <w:lang w:val="en-GB"/>
        </w:rPr>
        <w:t>withdrawal. To withdraw, a student must complete</w:t>
      </w:r>
      <w:r>
        <w:rPr>
          <w:lang w:val="en-GB"/>
        </w:rPr>
        <w:t xml:space="preserve"> </w:t>
      </w:r>
      <w:r w:rsidRPr="007C16A5">
        <w:rPr>
          <w:lang w:val="en-GB"/>
        </w:rPr>
        <w:t xml:space="preserve">the University’s withdrawal form </w:t>
      </w:r>
      <w:r w:rsidRPr="00400E84">
        <w:rPr>
          <w:lang w:val="en-GB"/>
        </w:rPr>
        <w:t>(</w:t>
      </w:r>
      <w:r w:rsidRPr="00400E84">
        <w:rPr>
          <w:color w:val="0070C0"/>
          <w:lang w:val="en-GB"/>
        </w:rPr>
        <w:t>see Undergraduate/Postgraduate Progression Policy</w:t>
      </w:r>
      <w:r w:rsidRPr="00400E84">
        <w:rPr>
          <w:lang w:val="en-GB"/>
        </w:rPr>
        <w:t>)</w:t>
      </w:r>
      <w:r w:rsidR="008071FF">
        <w:rPr>
          <w:lang w:val="en-GB"/>
        </w:rPr>
        <w:t xml:space="preserve">. </w:t>
      </w:r>
      <w:r>
        <w:rPr>
          <w:lang w:val="en-GB"/>
        </w:rPr>
        <w:t>A</w:t>
      </w:r>
      <w:r w:rsidRPr="007C16A5">
        <w:rPr>
          <w:lang w:val="en-GB"/>
        </w:rPr>
        <w:t>ny student</w:t>
      </w:r>
      <w:r>
        <w:rPr>
          <w:lang w:val="en-GB"/>
        </w:rPr>
        <w:t xml:space="preserve"> </w:t>
      </w:r>
      <w:r w:rsidRPr="007C16A5">
        <w:rPr>
          <w:lang w:val="en-GB"/>
        </w:rPr>
        <w:t>in receipt of U.S Federal Loans must complete the</w:t>
      </w:r>
      <w:r>
        <w:rPr>
          <w:lang w:val="en-GB"/>
        </w:rPr>
        <w:t xml:space="preserve"> </w:t>
      </w:r>
      <w:r w:rsidRPr="007C16A5">
        <w:rPr>
          <w:lang w:val="en-GB"/>
        </w:rPr>
        <w:t>U.S government’s Exit Counselling. Information</w:t>
      </w:r>
      <w:r>
        <w:rPr>
          <w:lang w:val="en-GB"/>
        </w:rPr>
        <w:t xml:space="preserve"> </w:t>
      </w:r>
      <w:r w:rsidRPr="007C16A5">
        <w:rPr>
          <w:lang w:val="en-GB"/>
        </w:rPr>
        <w:t>on this can be provided at the University’s Office</w:t>
      </w:r>
      <w:r>
        <w:rPr>
          <w:lang w:val="en-GB"/>
        </w:rPr>
        <w:t xml:space="preserve"> </w:t>
      </w:r>
      <w:r w:rsidRPr="007C16A5">
        <w:rPr>
          <w:lang w:val="en-GB"/>
        </w:rPr>
        <w:t>of Financial Aid.</w:t>
      </w:r>
    </w:p>
    <w:p w14:paraId="0C4F79D2" w14:textId="77777777" w:rsidR="004A0BAD" w:rsidRDefault="004A0BAD" w:rsidP="004A0BAD">
      <w:pPr>
        <w:pStyle w:val="ListParagraph"/>
        <w:ind w:left="360"/>
        <w:rPr>
          <w:lang w:val="en-GB"/>
        </w:rPr>
      </w:pPr>
    </w:p>
    <w:p w14:paraId="600135D1" w14:textId="3298C9AA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CA76F5">
        <w:rPr>
          <w:lang w:val="en-GB"/>
        </w:rPr>
        <w:t>Where refunds are possible, they will be made only</w:t>
      </w:r>
      <w:r>
        <w:rPr>
          <w:lang w:val="en-GB"/>
        </w:rPr>
        <w:t xml:space="preserve"> </w:t>
      </w:r>
      <w:r w:rsidRPr="00CA76F5">
        <w:rPr>
          <w:lang w:val="en-GB"/>
        </w:rPr>
        <w:t xml:space="preserve">when the student has followed </w:t>
      </w:r>
      <w:r>
        <w:rPr>
          <w:lang w:val="en-GB"/>
        </w:rPr>
        <w:t xml:space="preserve">and correctly completed </w:t>
      </w:r>
      <w:r w:rsidRPr="00CA76F5">
        <w:rPr>
          <w:lang w:val="en-GB"/>
        </w:rPr>
        <w:t>all of the University’s</w:t>
      </w:r>
      <w:r>
        <w:rPr>
          <w:lang w:val="en-GB"/>
        </w:rPr>
        <w:t xml:space="preserve"> </w:t>
      </w:r>
      <w:r w:rsidRPr="00CA76F5">
        <w:rPr>
          <w:lang w:val="en-GB"/>
        </w:rPr>
        <w:t>rules and procedures prior to the request of a refund.</w:t>
      </w:r>
      <w:r>
        <w:rPr>
          <w:lang w:val="en-GB"/>
        </w:rPr>
        <w:t xml:space="preserve"> </w:t>
      </w:r>
      <w:r w:rsidRPr="00CA76F5">
        <w:rPr>
          <w:lang w:val="en-GB"/>
        </w:rPr>
        <w:t>This includes the payment of the application fee. No</w:t>
      </w:r>
      <w:r>
        <w:rPr>
          <w:lang w:val="en-GB"/>
        </w:rPr>
        <w:t xml:space="preserve"> </w:t>
      </w:r>
      <w:r w:rsidRPr="00CA76F5">
        <w:rPr>
          <w:lang w:val="en-GB"/>
        </w:rPr>
        <w:t>refunds of deposits or fees will be made if a student</w:t>
      </w:r>
      <w:r>
        <w:rPr>
          <w:lang w:val="en-GB"/>
        </w:rPr>
        <w:t xml:space="preserve"> </w:t>
      </w:r>
      <w:r w:rsidRPr="00CA76F5">
        <w:rPr>
          <w:lang w:val="en-GB"/>
        </w:rPr>
        <w:t>is dismissed from the University on the grounds of</w:t>
      </w:r>
      <w:r>
        <w:rPr>
          <w:lang w:val="en-GB"/>
        </w:rPr>
        <w:t xml:space="preserve"> </w:t>
      </w:r>
      <w:r w:rsidRPr="00CA76F5">
        <w:rPr>
          <w:lang w:val="en-GB"/>
        </w:rPr>
        <w:t>academic misconduct</w:t>
      </w:r>
      <w:r w:rsidR="002A502F">
        <w:rPr>
          <w:lang w:val="en-GB"/>
        </w:rPr>
        <w:t>,</w:t>
      </w:r>
      <w:r>
        <w:rPr>
          <w:lang w:val="en-GB"/>
        </w:rPr>
        <w:t xml:space="preserve"> breach of the Student Code of Conduct</w:t>
      </w:r>
      <w:r w:rsidR="002A502F">
        <w:rPr>
          <w:lang w:val="en-GB"/>
        </w:rPr>
        <w:t>, or failure to make academic progress</w:t>
      </w:r>
      <w:r w:rsidRPr="00CA76F5">
        <w:rPr>
          <w:lang w:val="en-GB"/>
        </w:rPr>
        <w:t>.</w:t>
      </w:r>
    </w:p>
    <w:p w14:paraId="297A8C89" w14:textId="77777777" w:rsidR="004A0BAD" w:rsidRDefault="004A0BAD" w:rsidP="004A0BAD">
      <w:pPr>
        <w:pStyle w:val="Heading3"/>
      </w:pPr>
      <w:bookmarkStart w:id="1" w:name="_Toc517971726"/>
      <w:r>
        <w:lastRenderedPageBreak/>
        <w:t>Confirmation Deposits (US students only)</w:t>
      </w:r>
      <w:bookmarkEnd w:id="1"/>
    </w:p>
    <w:p w14:paraId="5D6E360A" w14:textId="573D324A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93489">
        <w:rPr>
          <w:lang w:val="en-GB"/>
        </w:rPr>
        <w:t xml:space="preserve">The only time a </w:t>
      </w:r>
      <w:r>
        <w:rPr>
          <w:lang w:val="en-GB"/>
        </w:rPr>
        <w:t xml:space="preserve">US </w:t>
      </w:r>
      <w:r w:rsidRPr="00693489">
        <w:rPr>
          <w:lang w:val="en-GB"/>
        </w:rPr>
        <w:t>confirmation deposit is refundable or</w:t>
      </w:r>
      <w:r>
        <w:rPr>
          <w:lang w:val="en-GB"/>
        </w:rPr>
        <w:t xml:space="preserve"> </w:t>
      </w:r>
      <w:r w:rsidRPr="00693489">
        <w:rPr>
          <w:lang w:val="en-GB"/>
        </w:rPr>
        <w:t>transferable is when a student is refused a student visa</w:t>
      </w:r>
      <w:r>
        <w:rPr>
          <w:lang w:val="en-GB"/>
        </w:rPr>
        <w:t xml:space="preserve"> </w:t>
      </w:r>
      <w:r w:rsidRPr="00693489">
        <w:rPr>
          <w:lang w:val="en-GB"/>
        </w:rPr>
        <w:t>to enter the UK</w:t>
      </w:r>
      <w:r w:rsidR="005D4B9A">
        <w:rPr>
          <w:rStyle w:val="FootnoteReference"/>
          <w:lang w:val="en-GB"/>
        </w:rPr>
        <w:footnoteReference w:id="1"/>
      </w:r>
      <w:r w:rsidRPr="00693489">
        <w:rPr>
          <w:lang w:val="en-GB"/>
        </w:rPr>
        <w:t>. The confirmation deposit refund</w:t>
      </w:r>
      <w:r>
        <w:rPr>
          <w:lang w:val="en-GB"/>
        </w:rPr>
        <w:t xml:space="preserve"> </w:t>
      </w:r>
      <w:r w:rsidRPr="00693489">
        <w:rPr>
          <w:lang w:val="en-GB"/>
        </w:rPr>
        <w:t>policy for visa denials is:</w:t>
      </w:r>
    </w:p>
    <w:p w14:paraId="681C0867" w14:textId="77777777" w:rsidR="004A0BAD" w:rsidRDefault="004A0BAD" w:rsidP="004A0BAD">
      <w:pPr>
        <w:pStyle w:val="ListParagraph"/>
        <w:numPr>
          <w:ilvl w:val="1"/>
          <w:numId w:val="1"/>
        </w:numPr>
        <w:rPr>
          <w:lang w:val="en-GB"/>
        </w:rPr>
      </w:pPr>
      <w:r w:rsidRPr="00693489">
        <w:rPr>
          <w:lang w:val="en-GB"/>
        </w:rPr>
        <w:t>Deposited students not appealing the decision – the</w:t>
      </w:r>
      <w:r>
        <w:rPr>
          <w:lang w:val="en-GB"/>
        </w:rPr>
        <w:t xml:space="preserve"> </w:t>
      </w:r>
      <w:r w:rsidRPr="00693489">
        <w:rPr>
          <w:lang w:val="en-GB"/>
        </w:rPr>
        <w:t>confirmation deposit will be refunded only if the</w:t>
      </w:r>
      <w:r>
        <w:rPr>
          <w:lang w:val="en-GB"/>
        </w:rPr>
        <w:t xml:space="preserve"> </w:t>
      </w:r>
      <w:r w:rsidRPr="00693489">
        <w:rPr>
          <w:lang w:val="en-GB"/>
        </w:rPr>
        <w:t>University receives a copy of the visa refusal letter</w:t>
      </w:r>
      <w:r>
        <w:rPr>
          <w:lang w:val="en-GB"/>
        </w:rPr>
        <w:t xml:space="preserve"> </w:t>
      </w:r>
      <w:r w:rsidRPr="00693489">
        <w:rPr>
          <w:lang w:val="en-GB"/>
        </w:rPr>
        <w:t>within four weeks of the date of issue.</w:t>
      </w:r>
    </w:p>
    <w:p w14:paraId="167B5167" w14:textId="77777777" w:rsidR="004A0BAD" w:rsidRDefault="004A0BAD" w:rsidP="004A0BAD">
      <w:pPr>
        <w:pStyle w:val="ListParagraph"/>
        <w:numPr>
          <w:ilvl w:val="1"/>
          <w:numId w:val="1"/>
        </w:numPr>
        <w:rPr>
          <w:lang w:val="en-GB"/>
        </w:rPr>
      </w:pPr>
      <w:r w:rsidRPr="00693489">
        <w:rPr>
          <w:lang w:val="en-GB"/>
        </w:rPr>
        <w:t>Deposited students appealing the decision – the</w:t>
      </w:r>
      <w:r>
        <w:rPr>
          <w:lang w:val="en-GB"/>
        </w:rPr>
        <w:t xml:space="preserve"> </w:t>
      </w:r>
      <w:r w:rsidRPr="00693489">
        <w:rPr>
          <w:lang w:val="en-GB"/>
        </w:rPr>
        <w:t>student must send the University a copy of the visa</w:t>
      </w:r>
      <w:r>
        <w:rPr>
          <w:lang w:val="en-GB"/>
        </w:rPr>
        <w:t xml:space="preserve"> </w:t>
      </w:r>
      <w:r w:rsidRPr="00693489">
        <w:rPr>
          <w:lang w:val="en-GB"/>
        </w:rPr>
        <w:t>denial letter and written notice of the intention to</w:t>
      </w:r>
      <w:r>
        <w:rPr>
          <w:lang w:val="en-GB"/>
        </w:rPr>
        <w:t xml:space="preserve"> </w:t>
      </w:r>
      <w:r w:rsidRPr="00693489">
        <w:rPr>
          <w:lang w:val="en-GB"/>
        </w:rPr>
        <w:t>appeal within four weeks of the visa denial.</w:t>
      </w:r>
    </w:p>
    <w:p w14:paraId="13EEAB2C" w14:textId="77777777" w:rsidR="004A0BAD" w:rsidRDefault="004A0BAD" w:rsidP="004A0BAD">
      <w:pPr>
        <w:pStyle w:val="Heading3"/>
      </w:pPr>
      <w:bookmarkStart w:id="2" w:name="_Toc517971727"/>
      <w:r>
        <w:t>Housing Refunds</w:t>
      </w:r>
      <w:bookmarkEnd w:id="2"/>
    </w:p>
    <w:p w14:paraId="462966CA" w14:textId="5BE774C5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93489">
        <w:rPr>
          <w:lang w:val="en-GB"/>
        </w:rPr>
        <w:t>Once housing is applied for and granted, the fee</w:t>
      </w:r>
      <w:r w:rsidR="00261F08">
        <w:rPr>
          <w:lang w:val="en-GB"/>
        </w:rPr>
        <w:t xml:space="preserve"> </w:t>
      </w:r>
      <w:r w:rsidRPr="00693489">
        <w:rPr>
          <w:lang w:val="en-GB"/>
        </w:rPr>
        <w:t>payer is liable for the full amount of the housing, even if the student withdraws or takes an approved L</w:t>
      </w:r>
      <w:r w:rsidR="00261F08">
        <w:rPr>
          <w:lang w:val="en-GB"/>
        </w:rPr>
        <w:t>O</w:t>
      </w:r>
      <w:r w:rsidRPr="00693489">
        <w:rPr>
          <w:lang w:val="en-GB"/>
        </w:rPr>
        <w:t>A or is dismissed from housing for disciplinary reasons. Housing deposits and fees will be refunded if a student is denied a visa to enter the United Kingdom.</w:t>
      </w:r>
    </w:p>
    <w:p w14:paraId="3D5928E0" w14:textId="77777777" w:rsidR="004A0BAD" w:rsidRDefault="004A0BAD" w:rsidP="004A0BAD">
      <w:pPr>
        <w:pStyle w:val="Heading3"/>
      </w:pPr>
      <w:bookmarkStart w:id="3" w:name="_Toc517971728"/>
      <w:r>
        <w:t>Tuition Refunds:  Existing Students</w:t>
      </w:r>
      <w:bookmarkEnd w:id="3"/>
    </w:p>
    <w:p w14:paraId="2081FCE2" w14:textId="5977825B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93489">
        <w:rPr>
          <w:lang w:val="en-GB"/>
        </w:rPr>
        <w:t>Tuition is refundable for all students who complete</w:t>
      </w:r>
      <w:r>
        <w:rPr>
          <w:lang w:val="en-GB"/>
        </w:rPr>
        <w:t xml:space="preserve"> </w:t>
      </w:r>
      <w:r w:rsidRPr="00693489">
        <w:rPr>
          <w:lang w:val="en-GB"/>
        </w:rPr>
        <w:t>the University’s process of withdrawal or L</w:t>
      </w:r>
      <w:r w:rsidR="00261F08">
        <w:rPr>
          <w:lang w:val="en-GB"/>
        </w:rPr>
        <w:t>O</w:t>
      </w:r>
      <w:r w:rsidRPr="00693489">
        <w:rPr>
          <w:lang w:val="en-GB"/>
        </w:rPr>
        <w:t>A</w:t>
      </w:r>
      <w:r>
        <w:rPr>
          <w:lang w:val="en-GB"/>
        </w:rPr>
        <w:t xml:space="preserve"> </w:t>
      </w:r>
      <w:r w:rsidRPr="00693489">
        <w:rPr>
          <w:lang w:val="en-GB"/>
        </w:rPr>
        <w:t>appropriately</w:t>
      </w:r>
      <w:r w:rsidR="002A502F">
        <w:rPr>
          <w:lang w:val="en-GB"/>
        </w:rPr>
        <w:t xml:space="preserve"> and in the time frames specified</w:t>
      </w:r>
      <w:r w:rsidRPr="00693489">
        <w:rPr>
          <w:lang w:val="en-GB"/>
        </w:rPr>
        <w:t>.</w:t>
      </w:r>
      <w:r>
        <w:rPr>
          <w:lang w:val="en-GB"/>
        </w:rPr>
        <w:t xml:space="preserve"> </w:t>
      </w:r>
      <w:r w:rsidRPr="00693489">
        <w:rPr>
          <w:lang w:val="en-GB"/>
        </w:rPr>
        <w:t>The amount of refund depends on when the</w:t>
      </w:r>
      <w:r>
        <w:rPr>
          <w:lang w:val="en-GB"/>
        </w:rPr>
        <w:t xml:space="preserve"> </w:t>
      </w:r>
      <w:r w:rsidRPr="00693489">
        <w:rPr>
          <w:lang w:val="en-GB"/>
        </w:rPr>
        <w:t>withdrawal process is completed:</w:t>
      </w:r>
    </w:p>
    <w:p w14:paraId="35CF25F8" w14:textId="77777777" w:rsidR="004A0BAD" w:rsidRDefault="004A0BAD" w:rsidP="004A0BA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4A0BAD" w14:paraId="32835DD5" w14:textId="77777777" w:rsidTr="00261F08">
        <w:tc>
          <w:tcPr>
            <w:tcW w:w="8636" w:type="dxa"/>
            <w:gridSpan w:val="2"/>
            <w:shd w:val="clear" w:color="auto" w:fill="BDD6EE" w:themeFill="accent1" w:themeFillTint="66"/>
          </w:tcPr>
          <w:p w14:paraId="66F079F3" w14:textId="77777777" w:rsidR="004A0BAD" w:rsidRPr="00693489" w:rsidRDefault="004A0BAD" w:rsidP="00261F08">
            <w:pPr>
              <w:jc w:val="center"/>
              <w:rPr>
                <w:b/>
                <w:lang w:val="en-GB"/>
              </w:rPr>
            </w:pPr>
            <w:r w:rsidRPr="00693489">
              <w:rPr>
                <w:b/>
                <w:lang w:val="en-GB"/>
              </w:rPr>
              <w:t>Fall and Spring Semesters</w:t>
            </w:r>
          </w:p>
        </w:tc>
      </w:tr>
      <w:tr w:rsidR="004A0BAD" w14:paraId="23284C9E" w14:textId="77777777" w:rsidTr="00261F08">
        <w:tc>
          <w:tcPr>
            <w:tcW w:w="5949" w:type="dxa"/>
          </w:tcPr>
          <w:p w14:paraId="74B38633" w14:textId="77777777" w:rsidR="004A0BAD" w:rsidRDefault="004A0BAD" w:rsidP="00261F08">
            <w:pPr>
              <w:rPr>
                <w:lang w:val="en-GB"/>
              </w:rPr>
            </w:pPr>
            <w:r>
              <w:rPr>
                <w:lang w:val="en-GB"/>
              </w:rPr>
              <w:t>Prior to 5pm on the Friday before Orientation Week</w:t>
            </w:r>
          </w:p>
        </w:tc>
        <w:tc>
          <w:tcPr>
            <w:tcW w:w="2687" w:type="dxa"/>
          </w:tcPr>
          <w:p w14:paraId="263039DB" w14:textId="4D74A273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100%</w:t>
            </w:r>
            <w:r w:rsidR="00A33CEA">
              <w:rPr>
                <w:lang w:val="en-GB"/>
              </w:rPr>
              <w:t xml:space="preserve"> refund</w:t>
            </w:r>
          </w:p>
        </w:tc>
      </w:tr>
      <w:tr w:rsidR="004A0BAD" w14:paraId="66A6180F" w14:textId="77777777" w:rsidTr="00261F08">
        <w:tc>
          <w:tcPr>
            <w:tcW w:w="5949" w:type="dxa"/>
          </w:tcPr>
          <w:p w14:paraId="5C101CDE" w14:textId="77777777" w:rsidR="004A0BAD" w:rsidRDefault="004A0BAD" w:rsidP="00261F08">
            <w:pPr>
              <w:rPr>
                <w:lang w:val="en-GB"/>
              </w:rPr>
            </w:pPr>
            <w:r>
              <w:rPr>
                <w:lang w:val="en-GB"/>
              </w:rPr>
              <w:t>By 5pm on the Friday of Orientation Week</w:t>
            </w:r>
          </w:p>
        </w:tc>
        <w:tc>
          <w:tcPr>
            <w:tcW w:w="2687" w:type="dxa"/>
          </w:tcPr>
          <w:p w14:paraId="713057D2" w14:textId="49BEBEA7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75%</w:t>
            </w:r>
            <w:r w:rsidR="00A33CEA">
              <w:rPr>
                <w:lang w:val="en-GB"/>
              </w:rPr>
              <w:t xml:space="preserve"> refund</w:t>
            </w:r>
          </w:p>
        </w:tc>
      </w:tr>
      <w:tr w:rsidR="004A0BAD" w14:paraId="58AF296E" w14:textId="77777777" w:rsidTr="00261F08">
        <w:tc>
          <w:tcPr>
            <w:tcW w:w="5949" w:type="dxa"/>
          </w:tcPr>
          <w:p w14:paraId="0CF5F28F" w14:textId="77777777" w:rsidR="004A0BAD" w:rsidRDefault="004A0BAD" w:rsidP="00261F08">
            <w:pPr>
              <w:rPr>
                <w:lang w:val="en-GB"/>
              </w:rPr>
            </w:pPr>
            <w:r>
              <w:rPr>
                <w:lang w:val="en-GB"/>
              </w:rPr>
              <w:t>By 5pm on the Friday of the First Week of Classes</w:t>
            </w:r>
          </w:p>
        </w:tc>
        <w:tc>
          <w:tcPr>
            <w:tcW w:w="2687" w:type="dxa"/>
          </w:tcPr>
          <w:p w14:paraId="52671C22" w14:textId="79F6D542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50%</w:t>
            </w:r>
            <w:r w:rsidR="00A33CEA">
              <w:rPr>
                <w:lang w:val="en-GB"/>
              </w:rPr>
              <w:t xml:space="preserve"> refund</w:t>
            </w:r>
          </w:p>
        </w:tc>
      </w:tr>
      <w:tr w:rsidR="004A0BAD" w14:paraId="7E4918F8" w14:textId="77777777" w:rsidTr="00261F08">
        <w:tc>
          <w:tcPr>
            <w:tcW w:w="5949" w:type="dxa"/>
          </w:tcPr>
          <w:p w14:paraId="52D53C13" w14:textId="77777777" w:rsidR="004A0BAD" w:rsidRDefault="004A0BAD" w:rsidP="00261F08">
            <w:pPr>
              <w:rPr>
                <w:lang w:val="en-GB"/>
              </w:rPr>
            </w:pPr>
            <w:r>
              <w:rPr>
                <w:lang w:val="en-GB"/>
              </w:rPr>
              <w:t>Thereafter</w:t>
            </w:r>
          </w:p>
        </w:tc>
        <w:tc>
          <w:tcPr>
            <w:tcW w:w="2687" w:type="dxa"/>
          </w:tcPr>
          <w:p w14:paraId="596E79F2" w14:textId="614402ED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0%</w:t>
            </w:r>
            <w:r w:rsidR="00A33CEA">
              <w:rPr>
                <w:lang w:val="en-GB"/>
              </w:rPr>
              <w:t xml:space="preserve"> refund</w:t>
            </w:r>
          </w:p>
        </w:tc>
      </w:tr>
    </w:tbl>
    <w:p w14:paraId="554FDD0D" w14:textId="77777777" w:rsidR="004A0BAD" w:rsidRDefault="004A0BAD" w:rsidP="004A0BA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4A0BAD" w14:paraId="77154211" w14:textId="77777777" w:rsidTr="00261F08">
        <w:tc>
          <w:tcPr>
            <w:tcW w:w="8636" w:type="dxa"/>
            <w:gridSpan w:val="2"/>
            <w:shd w:val="clear" w:color="auto" w:fill="BDD6EE" w:themeFill="accent1" w:themeFillTint="66"/>
          </w:tcPr>
          <w:p w14:paraId="73E01868" w14:textId="77777777" w:rsidR="004A0BAD" w:rsidRPr="00693489" w:rsidRDefault="004A0BAD" w:rsidP="00261F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Summer Sessions</w:t>
            </w:r>
          </w:p>
        </w:tc>
      </w:tr>
      <w:tr w:rsidR="004A0BAD" w14:paraId="58D5B127" w14:textId="77777777" w:rsidTr="00261F08">
        <w:tc>
          <w:tcPr>
            <w:tcW w:w="5949" w:type="dxa"/>
          </w:tcPr>
          <w:p w14:paraId="059482C9" w14:textId="77777777" w:rsidR="004A0BAD" w:rsidRDefault="004A0BAD" w:rsidP="00261F08">
            <w:pPr>
              <w:rPr>
                <w:lang w:val="en-GB"/>
              </w:rPr>
            </w:pPr>
            <w:r w:rsidRPr="00693489">
              <w:rPr>
                <w:lang w:val="en-GB"/>
              </w:rPr>
              <w:t>Prior to 5pm</w:t>
            </w:r>
            <w:r>
              <w:rPr>
                <w:lang w:val="en-GB"/>
              </w:rPr>
              <w:t xml:space="preserve"> on the Friday before the first </w:t>
            </w:r>
            <w:r w:rsidRPr="00693489">
              <w:rPr>
                <w:lang w:val="en-GB"/>
              </w:rPr>
              <w:t>week of classes</w:t>
            </w:r>
          </w:p>
        </w:tc>
        <w:tc>
          <w:tcPr>
            <w:tcW w:w="2687" w:type="dxa"/>
          </w:tcPr>
          <w:p w14:paraId="2D6A0F32" w14:textId="5C2BC9D5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100%</w:t>
            </w:r>
            <w:r w:rsidR="00A33CEA">
              <w:rPr>
                <w:lang w:val="en-GB"/>
              </w:rPr>
              <w:t xml:space="preserve"> refund</w:t>
            </w:r>
          </w:p>
        </w:tc>
      </w:tr>
      <w:tr w:rsidR="004A0BAD" w14:paraId="04EDE4AB" w14:textId="77777777" w:rsidTr="00261F08">
        <w:tc>
          <w:tcPr>
            <w:tcW w:w="5949" w:type="dxa"/>
          </w:tcPr>
          <w:p w14:paraId="18FA03A8" w14:textId="77777777" w:rsidR="004A0BAD" w:rsidRDefault="004A0BAD" w:rsidP="00261F08">
            <w:pPr>
              <w:rPr>
                <w:lang w:val="en-GB"/>
              </w:rPr>
            </w:pPr>
            <w:r w:rsidRPr="00693489">
              <w:rPr>
                <w:lang w:val="en-GB"/>
              </w:rPr>
              <w:t xml:space="preserve">By 5pm on the </w:t>
            </w:r>
            <w:r>
              <w:rPr>
                <w:lang w:val="en-GB"/>
              </w:rPr>
              <w:t xml:space="preserve">last day </w:t>
            </w:r>
            <w:r w:rsidRPr="00693489">
              <w:rPr>
                <w:lang w:val="en-GB"/>
              </w:rPr>
              <w:t>of add/drop period</w:t>
            </w:r>
          </w:p>
        </w:tc>
        <w:tc>
          <w:tcPr>
            <w:tcW w:w="2687" w:type="dxa"/>
          </w:tcPr>
          <w:p w14:paraId="4A6AF961" w14:textId="786A309E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50%</w:t>
            </w:r>
            <w:r w:rsidR="00A33CEA">
              <w:rPr>
                <w:lang w:val="en-GB"/>
              </w:rPr>
              <w:t xml:space="preserve"> refund</w:t>
            </w:r>
          </w:p>
        </w:tc>
      </w:tr>
      <w:tr w:rsidR="004A0BAD" w14:paraId="7232B60E" w14:textId="77777777" w:rsidTr="00261F08">
        <w:tc>
          <w:tcPr>
            <w:tcW w:w="5949" w:type="dxa"/>
          </w:tcPr>
          <w:p w14:paraId="356A3336" w14:textId="77777777" w:rsidR="004A0BAD" w:rsidRDefault="004A0BAD" w:rsidP="00261F08">
            <w:pPr>
              <w:rPr>
                <w:lang w:val="en-GB"/>
              </w:rPr>
            </w:pPr>
            <w:r>
              <w:rPr>
                <w:lang w:val="en-GB"/>
              </w:rPr>
              <w:t>Thereafter</w:t>
            </w:r>
          </w:p>
        </w:tc>
        <w:tc>
          <w:tcPr>
            <w:tcW w:w="2687" w:type="dxa"/>
          </w:tcPr>
          <w:p w14:paraId="463B7635" w14:textId="6009A4D7" w:rsidR="004A0BAD" w:rsidRDefault="004A0BAD" w:rsidP="00261F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0%</w:t>
            </w:r>
            <w:r w:rsidR="00A33CEA">
              <w:rPr>
                <w:lang w:val="en-GB"/>
              </w:rPr>
              <w:t xml:space="preserve"> refund</w:t>
            </w:r>
          </w:p>
        </w:tc>
      </w:tr>
    </w:tbl>
    <w:p w14:paraId="1E7F1905" w14:textId="77777777" w:rsidR="004A0BAD" w:rsidRDefault="004A0BAD" w:rsidP="004A0BAD">
      <w:pPr>
        <w:rPr>
          <w:lang w:val="en-GB"/>
        </w:rPr>
      </w:pPr>
    </w:p>
    <w:p w14:paraId="0CEF97E1" w14:textId="4F3CCC99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93489">
        <w:rPr>
          <w:lang w:val="en-GB"/>
        </w:rPr>
        <w:t xml:space="preserve">Students on </w:t>
      </w:r>
      <w:r>
        <w:rPr>
          <w:lang w:val="en-GB"/>
        </w:rPr>
        <w:t>a</w:t>
      </w:r>
      <w:r w:rsidRPr="00693489">
        <w:rPr>
          <w:lang w:val="en-GB"/>
        </w:rPr>
        <w:t xml:space="preserve"> payment plan should note that the</w:t>
      </w:r>
      <w:r>
        <w:rPr>
          <w:lang w:val="en-GB"/>
        </w:rPr>
        <w:t xml:space="preserve"> </w:t>
      </w:r>
      <w:r w:rsidRPr="00693489">
        <w:rPr>
          <w:lang w:val="en-GB"/>
        </w:rPr>
        <w:t>percentage refund is the percentage of the full tuition</w:t>
      </w:r>
      <w:r>
        <w:rPr>
          <w:lang w:val="en-GB"/>
        </w:rPr>
        <w:t xml:space="preserve"> </w:t>
      </w:r>
      <w:r w:rsidRPr="00693489">
        <w:rPr>
          <w:lang w:val="en-GB"/>
        </w:rPr>
        <w:t>price. Students changing from full time to part time</w:t>
      </w:r>
      <w:r>
        <w:rPr>
          <w:lang w:val="en-GB"/>
        </w:rPr>
        <w:t xml:space="preserve"> </w:t>
      </w:r>
      <w:r w:rsidRPr="00693489">
        <w:rPr>
          <w:lang w:val="en-GB"/>
        </w:rPr>
        <w:t>status are liable to the refund levels and timetable as</w:t>
      </w:r>
      <w:r>
        <w:rPr>
          <w:lang w:val="en-GB"/>
        </w:rPr>
        <w:t xml:space="preserve"> </w:t>
      </w:r>
      <w:r w:rsidRPr="00693489">
        <w:rPr>
          <w:lang w:val="en-GB"/>
        </w:rPr>
        <w:t>detailed above.</w:t>
      </w:r>
    </w:p>
    <w:p w14:paraId="5EA25C04" w14:textId="77777777" w:rsidR="004A0BAD" w:rsidRDefault="004A0BAD" w:rsidP="004A0BAD">
      <w:pPr>
        <w:rPr>
          <w:lang w:val="en-GB"/>
        </w:rPr>
      </w:pPr>
    </w:p>
    <w:p w14:paraId="15B0F805" w14:textId="77777777" w:rsidR="004A0BAD" w:rsidRDefault="004A0BAD" w:rsidP="004A0BAD">
      <w:pPr>
        <w:pStyle w:val="Heading2"/>
        <w:rPr>
          <w:lang w:val="en-GB"/>
        </w:rPr>
      </w:pPr>
      <w:bookmarkStart w:id="4" w:name="_Toc517971729"/>
      <w:r>
        <w:rPr>
          <w:lang w:val="en-GB"/>
        </w:rPr>
        <w:t>SPECIAL FEE CONDITIONS FOR POSTGRADUATES</w:t>
      </w:r>
      <w:bookmarkEnd w:id="4"/>
    </w:p>
    <w:p w14:paraId="4127A73E" w14:textId="77777777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33891">
        <w:rPr>
          <w:lang w:val="en-GB"/>
        </w:rPr>
        <w:t>The following terms and conditions are specific to</w:t>
      </w:r>
      <w:r>
        <w:rPr>
          <w:lang w:val="en-GB"/>
        </w:rPr>
        <w:t xml:space="preserve"> Post</w:t>
      </w:r>
      <w:r w:rsidRPr="00633891">
        <w:rPr>
          <w:lang w:val="en-GB"/>
        </w:rPr>
        <w:t>graduate students, otherwise all terms and conditions</w:t>
      </w:r>
      <w:r>
        <w:rPr>
          <w:lang w:val="en-GB"/>
        </w:rPr>
        <w:t xml:space="preserve"> between postg</w:t>
      </w:r>
      <w:r w:rsidRPr="00633891">
        <w:rPr>
          <w:lang w:val="en-GB"/>
        </w:rPr>
        <w:t>raduate</w:t>
      </w:r>
      <w:r>
        <w:rPr>
          <w:lang w:val="en-GB"/>
        </w:rPr>
        <w:t xml:space="preserve">s and undergraduates </w:t>
      </w:r>
      <w:r w:rsidRPr="00633891">
        <w:rPr>
          <w:lang w:val="en-GB"/>
        </w:rPr>
        <w:t>are</w:t>
      </w:r>
      <w:r>
        <w:rPr>
          <w:lang w:val="en-GB"/>
        </w:rPr>
        <w:t xml:space="preserve"> </w:t>
      </w:r>
      <w:r w:rsidRPr="00633891">
        <w:rPr>
          <w:lang w:val="en-GB"/>
        </w:rPr>
        <w:t>identical.</w:t>
      </w:r>
    </w:p>
    <w:p w14:paraId="2947BDAE" w14:textId="77777777" w:rsidR="004A0BAD" w:rsidRPr="00633891" w:rsidRDefault="004A0BAD" w:rsidP="004A0BAD">
      <w:pPr>
        <w:pStyle w:val="ListParagraph"/>
        <w:ind w:left="360"/>
        <w:rPr>
          <w:lang w:val="en-GB"/>
        </w:rPr>
      </w:pPr>
    </w:p>
    <w:p w14:paraId="404492FA" w14:textId="77777777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33891">
        <w:rPr>
          <w:lang w:val="en-GB"/>
        </w:rPr>
        <w:t>Fees are payable in UK Pounds Sterling.</w:t>
      </w:r>
    </w:p>
    <w:p w14:paraId="21C767B3" w14:textId="77777777" w:rsidR="004A0BAD" w:rsidRPr="00633891" w:rsidRDefault="004A0BAD" w:rsidP="004A0BAD">
      <w:pPr>
        <w:pStyle w:val="ListParagraph"/>
        <w:ind w:left="360"/>
        <w:rPr>
          <w:lang w:val="en-GB"/>
        </w:rPr>
      </w:pPr>
    </w:p>
    <w:p w14:paraId="79E2008F" w14:textId="77777777" w:rsidR="004A0BAD" w:rsidRPr="00633891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33891">
        <w:rPr>
          <w:lang w:val="en-GB"/>
        </w:rPr>
        <w:t>Payments are due in three equal instalments</w:t>
      </w:r>
      <w:r>
        <w:rPr>
          <w:lang w:val="en-GB"/>
        </w:rPr>
        <w:t>:</w:t>
      </w:r>
    </w:p>
    <w:p w14:paraId="6E3C798A" w14:textId="77777777" w:rsidR="004A0BAD" w:rsidRDefault="004A0BAD" w:rsidP="004A0BAD">
      <w:pPr>
        <w:pStyle w:val="ListParagraph"/>
        <w:numPr>
          <w:ilvl w:val="1"/>
          <w:numId w:val="1"/>
        </w:numPr>
        <w:rPr>
          <w:lang w:val="en-GB"/>
        </w:rPr>
      </w:pPr>
      <w:r w:rsidRPr="00633891">
        <w:rPr>
          <w:lang w:val="en-GB"/>
        </w:rPr>
        <w:t xml:space="preserve">1st August (Fall semester), </w:t>
      </w:r>
    </w:p>
    <w:p w14:paraId="210F8C42" w14:textId="77777777" w:rsidR="004A0BAD" w:rsidRDefault="004A0BAD" w:rsidP="004A0BAD">
      <w:pPr>
        <w:pStyle w:val="ListParagraph"/>
        <w:numPr>
          <w:ilvl w:val="1"/>
          <w:numId w:val="1"/>
        </w:numPr>
        <w:rPr>
          <w:lang w:val="en-GB"/>
        </w:rPr>
      </w:pPr>
      <w:r w:rsidRPr="00633891">
        <w:rPr>
          <w:lang w:val="en-GB"/>
        </w:rPr>
        <w:t>1st December (Spring</w:t>
      </w:r>
      <w:r>
        <w:rPr>
          <w:lang w:val="en-GB"/>
        </w:rPr>
        <w:t xml:space="preserve"> semester),</w:t>
      </w:r>
    </w:p>
    <w:p w14:paraId="6C8493D2" w14:textId="77777777" w:rsidR="004A0BAD" w:rsidRDefault="004A0BAD" w:rsidP="004A0BA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1st May (</w:t>
      </w:r>
      <w:proofErr w:type="gramStart"/>
      <w:r>
        <w:rPr>
          <w:lang w:val="en-GB"/>
        </w:rPr>
        <w:t>Summer</w:t>
      </w:r>
      <w:proofErr w:type="gramEnd"/>
      <w:r>
        <w:rPr>
          <w:lang w:val="en-GB"/>
        </w:rPr>
        <w:t xml:space="preserve"> semester).</w:t>
      </w:r>
    </w:p>
    <w:p w14:paraId="3527C2F2" w14:textId="77777777" w:rsidR="004A0BAD" w:rsidRPr="00633891" w:rsidRDefault="004A0BAD" w:rsidP="004A0BAD">
      <w:pPr>
        <w:pStyle w:val="ListParagraph"/>
        <w:ind w:left="1080"/>
        <w:rPr>
          <w:lang w:val="en-GB"/>
        </w:rPr>
      </w:pPr>
    </w:p>
    <w:p w14:paraId="516E87DE" w14:textId="05F32B77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33891">
        <w:rPr>
          <w:lang w:val="en-GB"/>
        </w:rPr>
        <w:t>A 100% refund will be made for tuition fees less any</w:t>
      </w:r>
      <w:r>
        <w:rPr>
          <w:lang w:val="en-GB"/>
        </w:rPr>
        <w:t xml:space="preserve"> </w:t>
      </w:r>
      <w:r w:rsidRPr="008130BC">
        <w:rPr>
          <w:lang w:val="en-GB"/>
        </w:rPr>
        <w:t>confirmation deposit f an</w:t>
      </w:r>
      <w:r>
        <w:rPr>
          <w:lang w:val="en-GB"/>
        </w:rPr>
        <w:t xml:space="preserve"> </w:t>
      </w:r>
      <w:r w:rsidRPr="008130BC">
        <w:rPr>
          <w:lang w:val="en-GB"/>
        </w:rPr>
        <w:t xml:space="preserve">official withdrawal is made before 5pm on the </w:t>
      </w:r>
      <w:r w:rsidR="00B85A27">
        <w:rPr>
          <w:lang w:val="en-GB"/>
        </w:rPr>
        <w:t>Friday</w:t>
      </w:r>
      <w:r w:rsidRPr="008130BC">
        <w:rPr>
          <w:lang w:val="en-GB"/>
        </w:rPr>
        <w:t xml:space="preserve"> before the </w:t>
      </w:r>
      <w:r w:rsidR="00B85A27">
        <w:rPr>
          <w:lang w:val="en-GB"/>
        </w:rPr>
        <w:t>first week</w:t>
      </w:r>
      <w:r w:rsidRPr="008130BC">
        <w:rPr>
          <w:lang w:val="en-GB"/>
        </w:rPr>
        <w:t xml:space="preserve"> of classes in the </w:t>
      </w:r>
      <w:proofErr w:type="gramStart"/>
      <w:r w:rsidRPr="008130BC">
        <w:rPr>
          <w:lang w:val="en-GB"/>
        </w:rPr>
        <w:t>Fall</w:t>
      </w:r>
      <w:proofErr w:type="gramEnd"/>
      <w:r>
        <w:rPr>
          <w:lang w:val="en-GB"/>
        </w:rPr>
        <w:t xml:space="preserve"> </w:t>
      </w:r>
      <w:r w:rsidRPr="008130BC">
        <w:rPr>
          <w:lang w:val="en-GB"/>
        </w:rPr>
        <w:t>semester. Thereafter, no refunds are made.</w:t>
      </w:r>
    </w:p>
    <w:p w14:paraId="185F3434" w14:textId="77777777" w:rsidR="004A0BAD" w:rsidRPr="008130BC" w:rsidRDefault="004A0BAD" w:rsidP="004A0BAD">
      <w:pPr>
        <w:pStyle w:val="ListParagraph"/>
        <w:ind w:left="360"/>
        <w:rPr>
          <w:lang w:val="en-GB"/>
        </w:rPr>
      </w:pPr>
    </w:p>
    <w:p w14:paraId="17627F97" w14:textId="7E927547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 w:rsidRPr="00633891">
        <w:rPr>
          <w:lang w:val="en-GB"/>
        </w:rPr>
        <w:lastRenderedPageBreak/>
        <w:t>However, if the University has issued a</w:t>
      </w:r>
      <w:r>
        <w:rPr>
          <w:lang w:val="en-GB"/>
        </w:rPr>
        <w:t xml:space="preserve"> </w:t>
      </w:r>
      <w:r w:rsidRPr="008130BC">
        <w:rPr>
          <w:lang w:val="en-GB"/>
        </w:rPr>
        <w:t>Confirmation of Acceptance for Studies (CAS) and</w:t>
      </w:r>
      <w:r>
        <w:rPr>
          <w:lang w:val="en-GB"/>
        </w:rPr>
        <w:t xml:space="preserve"> </w:t>
      </w:r>
      <w:r w:rsidRPr="008130BC">
        <w:rPr>
          <w:lang w:val="en-GB"/>
        </w:rPr>
        <w:t>a student visa has been issued there</w:t>
      </w:r>
      <w:r>
        <w:rPr>
          <w:lang w:val="en-GB"/>
        </w:rPr>
        <w:t xml:space="preserve"> </w:t>
      </w:r>
      <w:r w:rsidRPr="008130BC">
        <w:rPr>
          <w:lang w:val="en-GB"/>
        </w:rPr>
        <w:t>will be no refunds of tuition or housing fees.</w:t>
      </w:r>
    </w:p>
    <w:p w14:paraId="38C58F62" w14:textId="77777777" w:rsidR="004A0BAD" w:rsidRPr="008130BC" w:rsidRDefault="004A0BAD" w:rsidP="004A0BAD">
      <w:pPr>
        <w:pStyle w:val="ListParagraph"/>
        <w:ind w:left="360"/>
        <w:rPr>
          <w:lang w:val="en-GB"/>
        </w:rPr>
      </w:pPr>
    </w:p>
    <w:p w14:paraId="0E1A800A" w14:textId="4179BB09" w:rsidR="004A0BAD" w:rsidRDefault="004A0BAD" w:rsidP="004A0BA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Postg</w:t>
      </w:r>
      <w:r w:rsidRPr="00633891">
        <w:rPr>
          <w:lang w:val="en-GB"/>
        </w:rPr>
        <w:t>raduates enter into a two semester accommodation</w:t>
      </w:r>
      <w:r>
        <w:rPr>
          <w:lang w:val="en-GB"/>
        </w:rPr>
        <w:t xml:space="preserve"> </w:t>
      </w:r>
      <w:r w:rsidRPr="008130BC">
        <w:rPr>
          <w:lang w:val="en-GB"/>
        </w:rPr>
        <w:t>contract (</w:t>
      </w:r>
      <w:proofErr w:type="gramStart"/>
      <w:r w:rsidRPr="008130BC">
        <w:rPr>
          <w:lang w:val="en-GB"/>
        </w:rPr>
        <w:t>Fall</w:t>
      </w:r>
      <w:proofErr w:type="gramEnd"/>
      <w:r w:rsidRPr="008130BC">
        <w:rPr>
          <w:lang w:val="en-GB"/>
        </w:rPr>
        <w:t xml:space="preserve"> and Spring). Accommodation</w:t>
      </w:r>
      <w:r>
        <w:rPr>
          <w:lang w:val="en-GB"/>
        </w:rPr>
        <w:t xml:space="preserve"> </w:t>
      </w:r>
      <w:r w:rsidRPr="008130BC">
        <w:rPr>
          <w:lang w:val="en-GB"/>
        </w:rPr>
        <w:t xml:space="preserve">for the </w:t>
      </w:r>
      <w:proofErr w:type="gramStart"/>
      <w:r w:rsidRPr="008130BC">
        <w:rPr>
          <w:lang w:val="en-GB"/>
        </w:rPr>
        <w:t>Summer</w:t>
      </w:r>
      <w:proofErr w:type="gramEnd"/>
      <w:r w:rsidRPr="008130BC">
        <w:rPr>
          <w:lang w:val="en-GB"/>
        </w:rPr>
        <w:t xml:space="preserve"> semester can be arranged and</w:t>
      </w:r>
      <w:r>
        <w:rPr>
          <w:lang w:val="en-GB"/>
        </w:rPr>
        <w:t xml:space="preserve"> </w:t>
      </w:r>
      <w:r w:rsidRPr="008130BC">
        <w:rPr>
          <w:lang w:val="en-GB"/>
        </w:rPr>
        <w:t>paid for by the week in accommodation of the</w:t>
      </w:r>
      <w:r>
        <w:rPr>
          <w:lang w:val="en-GB"/>
        </w:rPr>
        <w:t xml:space="preserve"> </w:t>
      </w:r>
      <w:r w:rsidRPr="008130BC">
        <w:rPr>
          <w:lang w:val="en-GB"/>
        </w:rPr>
        <w:t>University’s choosing. No refunds are available</w:t>
      </w:r>
      <w:r>
        <w:rPr>
          <w:lang w:val="en-GB"/>
        </w:rPr>
        <w:t xml:space="preserve"> for accommodation.</w:t>
      </w:r>
    </w:p>
    <w:p w14:paraId="29AEC684" w14:textId="77777777" w:rsidR="004A0BAD" w:rsidRDefault="004A0BAD" w:rsidP="004A0BAD">
      <w:pPr>
        <w:pStyle w:val="ListParagraph"/>
        <w:ind w:left="360"/>
        <w:rPr>
          <w:lang w:val="en-GB"/>
        </w:rPr>
      </w:pPr>
    </w:p>
    <w:p w14:paraId="383EB121" w14:textId="4C76B74C" w:rsidR="00F6792B" w:rsidRDefault="00F6792B">
      <w:pPr>
        <w:spacing w:after="160" w:line="259" w:lineRule="auto"/>
      </w:pPr>
      <w:r>
        <w:br w:type="page"/>
      </w:r>
    </w:p>
    <w:p w14:paraId="444D99CF" w14:textId="77777777" w:rsidR="00F6792B" w:rsidRDefault="00F6792B" w:rsidP="00F6792B">
      <w:pPr>
        <w:pStyle w:val="Heading2"/>
      </w:pPr>
      <w:r>
        <w:lastRenderedPageBreak/>
        <w:t>VERSION MANAGEMENT</w:t>
      </w:r>
    </w:p>
    <w:p w14:paraId="68279A64" w14:textId="77777777" w:rsidR="00F6792B" w:rsidRDefault="00F6792B" w:rsidP="00F6792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1984"/>
      </w:tblGrid>
      <w:tr w:rsidR="00400E84" w:rsidRPr="00400E84" w14:paraId="09E013F8" w14:textId="77777777" w:rsidTr="00261F08">
        <w:trPr>
          <w:trHeight w:val="416"/>
        </w:trPr>
        <w:tc>
          <w:tcPr>
            <w:tcW w:w="8642" w:type="dxa"/>
            <w:gridSpan w:val="4"/>
            <w:shd w:val="clear" w:color="auto" w:fill="D9D9D9" w:themeFill="background1" w:themeFillShade="D9"/>
          </w:tcPr>
          <w:p w14:paraId="55827C1C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Responsible Department:</w:t>
            </w:r>
          </w:p>
        </w:tc>
      </w:tr>
      <w:tr w:rsidR="00400E84" w:rsidRPr="00400E84" w14:paraId="3EE44822" w14:textId="77777777" w:rsidTr="00261F08">
        <w:trPr>
          <w:trHeight w:val="408"/>
        </w:trPr>
        <w:tc>
          <w:tcPr>
            <w:tcW w:w="8642" w:type="dxa"/>
            <w:gridSpan w:val="4"/>
            <w:shd w:val="clear" w:color="auto" w:fill="D9D9D9" w:themeFill="background1" w:themeFillShade="D9"/>
          </w:tcPr>
          <w:p w14:paraId="746AC3BE" w14:textId="59CFAA18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b/>
                <w:color w:val="1A171C"/>
                <w:sz w:val="20"/>
                <w:szCs w:val="20"/>
                <w:lang w:val="en-GB"/>
              </w:rPr>
              <w:t>Approving body:</w:t>
            </w:r>
            <w:r>
              <w:rPr>
                <w:rFonts w:asciiTheme="minorHAnsi" w:eastAsiaTheme="minorHAnsi" w:hAnsiTheme="minorHAnsi" w:cstheme="minorBidi"/>
                <w:b/>
                <w:color w:val="1A171C"/>
                <w:sz w:val="20"/>
                <w:szCs w:val="20"/>
                <w:lang w:val="en-GB"/>
              </w:rPr>
              <w:t xml:space="preserve"> Academic Board</w:t>
            </w:r>
          </w:p>
        </w:tc>
      </w:tr>
      <w:tr w:rsidR="00400E84" w:rsidRPr="00400E84" w14:paraId="7E8D702B" w14:textId="77777777" w:rsidTr="00360217">
        <w:trPr>
          <w:trHeight w:val="271"/>
        </w:trPr>
        <w:tc>
          <w:tcPr>
            <w:tcW w:w="1271" w:type="dxa"/>
            <w:shd w:val="clear" w:color="auto" w:fill="D9D9D9" w:themeFill="background1" w:themeFillShade="D9"/>
          </w:tcPr>
          <w:p w14:paraId="56B020C9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b/>
                <w:color w:val="1A171C"/>
                <w:sz w:val="20"/>
                <w:szCs w:val="20"/>
                <w:lang w:val="en-GB"/>
              </w:rPr>
              <w:t>Version 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DE69018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/>
              </w:rPr>
              <w:t>Key Changes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32B0B9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b/>
                <w:color w:val="1A171C"/>
                <w:sz w:val="20"/>
                <w:szCs w:val="20"/>
                <w:lang w:val="en-GB"/>
              </w:rPr>
              <w:t>Date of approval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B29867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b/>
                <w:color w:val="1A171C"/>
                <w:sz w:val="20"/>
                <w:szCs w:val="20"/>
                <w:lang w:val="en-GB"/>
              </w:rPr>
              <w:t>Date of effect</w:t>
            </w:r>
          </w:p>
        </w:tc>
      </w:tr>
      <w:tr w:rsidR="00400E84" w:rsidRPr="00400E84" w14:paraId="19AA20D9" w14:textId="77777777" w:rsidTr="00360217">
        <w:tc>
          <w:tcPr>
            <w:tcW w:w="1271" w:type="dxa"/>
          </w:tcPr>
          <w:p w14:paraId="13153023" w14:textId="0EBD3D6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001</w:t>
            </w:r>
          </w:p>
        </w:tc>
        <w:tc>
          <w:tcPr>
            <w:tcW w:w="3969" w:type="dxa"/>
          </w:tcPr>
          <w:p w14:paraId="2EE474C6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D60A367" w14:textId="0CE9545D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24 July 2018</w:t>
            </w:r>
          </w:p>
        </w:tc>
        <w:tc>
          <w:tcPr>
            <w:tcW w:w="1984" w:type="dxa"/>
          </w:tcPr>
          <w:p w14:paraId="4F69673B" w14:textId="6E56333F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28 August 2018</w:t>
            </w:r>
          </w:p>
        </w:tc>
      </w:tr>
      <w:tr w:rsidR="00400E84" w:rsidRPr="00400E84" w14:paraId="4A8D7B1A" w14:textId="77777777" w:rsidTr="00360217">
        <w:tc>
          <w:tcPr>
            <w:tcW w:w="1271" w:type="dxa"/>
          </w:tcPr>
          <w:p w14:paraId="2EBAD337" w14:textId="6A3CCB1B" w:rsidR="00400E84" w:rsidRPr="00400E84" w:rsidRDefault="008D385B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002</w:t>
            </w:r>
          </w:p>
        </w:tc>
        <w:tc>
          <w:tcPr>
            <w:tcW w:w="3969" w:type="dxa"/>
          </w:tcPr>
          <w:p w14:paraId="2BC0E538" w14:textId="77777777" w:rsidR="00400E84" w:rsidRDefault="008D385B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Typos corrected</w:t>
            </w:r>
          </w:p>
          <w:p w14:paraId="5045A92A" w14:textId="335588B7" w:rsidR="008D385B" w:rsidRPr="00400E84" w:rsidRDefault="008D385B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Footnote added</w:t>
            </w:r>
          </w:p>
        </w:tc>
        <w:tc>
          <w:tcPr>
            <w:tcW w:w="1418" w:type="dxa"/>
          </w:tcPr>
          <w:p w14:paraId="1B779557" w14:textId="45CE28B2" w:rsidR="00400E84" w:rsidRPr="00400E84" w:rsidRDefault="00360217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06 July 2020</w:t>
            </w:r>
          </w:p>
        </w:tc>
        <w:tc>
          <w:tcPr>
            <w:tcW w:w="1984" w:type="dxa"/>
          </w:tcPr>
          <w:p w14:paraId="55A8DF5B" w14:textId="495670D8" w:rsidR="00400E84" w:rsidRPr="00400E84" w:rsidRDefault="00360217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1 September </w:t>
            </w:r>
            <w:bookmarkStart w:id="5" w:name="_GoBack"/>
            <w:bookmarkEnd w:id="5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2020</w:t>
            </w:r>
          </w:p>
        </w:tc>
      </w:tr>
      <w:tr w:rsidR="00400E84" w:rsidRPr="00400E84" w14:paraId="070B8AED" w14:textId="77777777" w:rsidTr="00360217">
        <w:tc>
          <w:tcPr>
            <w:tcW w:w="1271" w:type="dxa"/>
          </w:tcPr>
          <w:p w14:paraId="30B87481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2F5A4D75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65A5E1E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3D96BDB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4ECDD1EE" w14:textId="77777777" w:rsidTr="00360217">
        <w:tc>
          <w:tcPr>
            <w:tcW w:w="1271" w:type="dxa"/>
          </w:tcPr>
          <w:p w14:paraId="60DD5BD2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27186A32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AED102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395398E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6E81D587" w14:textId="77777777" w:rsidTr="00360217">
        <w:tc>
          <w:tcPr>
            <w:tcW w:w="1271" w:type="dxa"/>
          </w:tcPr>
          <w:p w14:paraId="48FB6D07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70929003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1ABC790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613BE8B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2DD6D71E" w14:textId="77777777" w:rsidTr="00360217">
        <w:tc>
          <w:tcPr>
            <w:tcW w:w="1271" w:type="dxa"/>
          </w:tcPr>
          <w:p w14:paraId="05E97FC7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69D79FC6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96EC3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ABADDAC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11036895" w14:textId="77777777" w:rsidTr="00360217">
        <w:tc>
          <w:tcPr>
            <w:tcW w:w="1271" w:type="dxa"/>
          </w:tcPr>
          <w:p w14:paraId="26076641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04EA829D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3A180F3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55DCC1CB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51CD4A63" w14:textId="77777777" w:rsidTr="00360217">
        <w:tc>
          <w:tcPr>
            <w:tcW w:w="1271" w:type="dxa"/>
          </w:tcPr>
          <w:p w14:paraId="4ACFDBD1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2330C9E7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1BE68C1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20C572AE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10B6ECDB" w14:textId="77777777" w:rsidTr="00360217">
        <w:tc>
          <w:tcPr>
            <w:tcW w:w="1271" w:type="dxa"/>
          </w:tcPr>
          <w:p w14:paraId="4BAB9540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10899790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9882497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6F06DF3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6D5553DF" w14:textId="77777777" w:rsidTr="00360217">
        <w:tc>
          <w:tcPr>
            <w:tcW w:w="1271" w:type="dxa"/>
          </w:tcPr>
          <w:p w14:paraId="54A93E69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7BCC2C77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2D2C7C4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B4691D4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1732B3D6" w14:textId="77777777" w:rsidTr="00360217">
        <w:tc>
          <w:tcPr>
            <w:tcW w:w="1271" w:type="dxa"/>
          </w:tcPr>
          <w:p w14:paraId="7D7F7464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1DA10D34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843485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58DFA7BC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00E84" w:rsidRPr="00400E84" w14:paraId="627A4A8E" w14:textId="77777777" w:rsidTr="00261F08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F29D8BC" w14:textId="7777777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36C5C6B" w14:textId="77777777" w:rsidR="00400E84" w:rsidRPr="00400E84" w:rsidRDefault="00400E84" w:rsidP="00400E84">
            <w:pPr>
              <w:widowControl w:val="0"/>
              <w:autoSpaceDE w:val="0"/>
              <w:autoSpaceDN w:val="0"/>
              <w:spacing w:before="57"/>
              <w:ind w:left="80"/>
              <w:rPr>
                <w:rFonts w:asciiTheme="minorHAnsi" w:eastAsia="Arial" w:hAnsiTheme="minorHAnsi" w:cs="Arial"/>
                <w:b/>
                <w:sz w:val="20"/>
                <w:szCs w:val="20"/>
                <w:lang w:val="en-GB" w:eastAsia="en-GB" w:bidi="en-GB"/>
              </w:rPr>
            </w:pPr>
            <w:r w:rsidRPr="00400E84">
              <w:rPr>
                <w:rFonts w:asciiTheme="minorHAnsi" w:eastAsia="Arial" w:hAnsiTheme="minorHAnsi" w:cs="Arial"/>
                <w:b/>
                <w:color w:val="1A171C"/>
                <w:sz w:val="20"/>
                <w:szCs w:val="20"/>
                <w:lang w:val="en-GB" w:eastAsia="en-GB" w:bidi="en-GB"/>
              </w:rPr>
              <w:t>Restricted access?</w:t>
            </w:r>
          </w:p>
          <w:p w14:paraId="7F225094" w14:textId="316CA017" w:rsidR="00400E84" w:rsidRPr="00400E84" w:rsidRDefault="00400E84" w:rsidP="00400E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400E84">
              <w:rPr>
                <w:rFonts w:asciiTheme="minorHAnsi" w:eastAsiaTheme="minorHAnsi" w:hAnsiTheme="minorHAnsi" w:cstheme="minorBidi"/>
                <w:i/>
                <w:color w:val="1A171C"/>
                <w:sz w:val="20"/>
                <w:szCs w:val="20"/>
                <w:lang w:val="en-GB"/>
              </w:rPr>
              <w:t>Tick as appropriate</w:t>
            </w:r>
            <w:r w:rsidRPr="00400E84">
              <w:rPr>
                <w:rFonts w:asciiTheme="minorHAnsi" w:eastAsiaTheme="minorHAnsi" w:hAnsiTheme="minorHAnsi" w:cstheme="minorBidi"/>
                <w:b/>
                <w:color w:val="1A171C"/>
                <w:spacing w:val="-6"/>
                <w:w w:val="120"/>
                <w:position w:val="-6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b/>
                  <w:color w:val="1A171C"/>
                  <w:spacing w:val="-6"/>
                  <w:w w:val="120"/>
                  <w:position w:val="-6"/>
                  <w:sz w:val="20"/>
                  <w:szCs w:val="20"/>
                  <w:lang w:val="en-GB"/>
                </w:rPr>
                <w:id w:val="11773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84">
                  <w:rPr>
                    <w:rFonts w:ascii="Segoe UI Symbol" w:eastAsiaTheme="minorHAnsi" w:hAnsi="Segoe UI Symbol" w:cs="Segoe UI Symbol"/>
                    <w:b/>
                    <w:color w:val="1A171C"/>
                    <w:spacing w:val="-6"/>
                    <w:w w:val="120"/>
                    <w:position w:val="-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00E84">
              <w:rPr>
                <w:rFonts w:asciiTheme="minorHAnsi" w:eastAsiaTheme="minorHAnsi" w:hAnsiTheme="minorHAnsi" w:cstheme="minorBidi"/>
                <w:b/>
                <w:color w:val="1A171C"/>
                <w:spacing w:val="-6"/>
                <w:w w:val="120"/>
                <w:position w:val="-6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Theme="minorHAnsi" w:eastAsiaTheme="minorHAnsi" w:hAnsiTheme="minorHAnsi" w:cstheme="minorBidi"/>
                  <w:b/>
                  <w:color w:val="1A171C"/>
                  <w:spacing w:val="-6"/>
                  <w:w w:val="120"/>
                  <w:position w:val="-6"/>
                  <w:sz w:val="20"/>
                  <w:szCs w:val="20"/>
                  <w:lang w:val="en-GB"/>
                </w:rPr>
                <w:id w:val="5844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color w:val="1A171C"/>
                    <w:spacing w:val="-6"/>
                    <w:w w:val="120"/>
                    <w:position w:val="-6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Pr="00400E84">
              <w:rPr>
                <w:rFonts w:asciiTheme="minorHAnsi" w:eastAsiaTheme="minorHAnsi" w:hAnsiTheme="minorHAnsi" w:cstheme="minorBidi"/>
                <w:b/>
                <w:color w:val="1A171C"/>
                <w:spacing w:val="-6"/>
                <w:w w:val="120"/>
                <w:position w:val="-6"/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0162BF32" w14:textId="77777777" w:rsidR="001A3B50" w:rsidRDefault="001A3B50"/>
    <w:sectPr w:rsidR="001A3B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21B4" w14:textId="77777777" w:rsidR="00853560" w:rsidRDefault="00853560" w:rsidP="00853560">
      <w:r>
        <w:separator/>
      </w:r>
    </w:p>
  </w:endnote>
  <w:endnote w:type="continuationSeparator" w:id="0">
    <w:p w14:paraId="044992EE" w14:textId="77777777" w:rsidR="00853560" w:rsidRDefault="00853560" w:rsidP="0085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EC25" w14:textId="77777777" w:rsidR="00853560" w:rsidRDefault="00853560" w:rsidP="00853560">
      <w:r>
        <w:separator/>
      </w:r>
    </w:p>
  </w:footnote>
  <w:footnote w:type="continuationSeparator" w:id="0">
    <w:p w14:paraId="231DD81A" w14:textId="77777777" w:rsidR="00853560" w:rsidRDefault="00853560" w:rsidP="00853560">
      <w:r>
        <w:continuationSeparator/>
      </w:r>
    </w:p>
  </w:footnote>
  <w:footnote w:id="1">
    <w:p w14:paraId="61BF2583" w14:textId="09895285" w:rsidR="005D4B9A" w:rsidRPr="008D385B" w:rsidRDefault="005D4B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261F08" w:rsidRPr="00261F08">
        <w:t>with the exception of Fall 20/Spring 21 the deposit may be refundable due to Covid</w:t>
      </w:r>
      <w:r w:rsidR="00261F08">
        <w:t>-19</w:t>
      </w:r>
      <w:r w:rsidR="00261F08" w:rsidRPr="00261F08">
        <w:t xml:space="preserve"> conditions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E21F" w14:textId="77777777" w:rsidR="00400E84" w:rsidRDefault="00853560" w:rsidP="00400E84">
    <w:pPr>
      <w:pStyle w:val="Header"/>
      <w:jc w:val="right"/>
      <w:rPr>
        <w:sz w:val="20"/>
      </w:rPr>
    </w:pPr>
    <w:r w:rsidRPr="00400E84">
      <w:rPr>
        <w:sz w:val="20"/>
      </w:rPr>
      <w:t>Withdrawals and Refunds Policy</w:t>
    </w:r>
  </w:p>
  <w:p w14:paraId="1358F7C9" w14:textId="332ED0FA" w:rsidR="008C002C" w:rsidRDefault="00360217" w:rsidP="00400E84">
    <w:pPr>
      <w:pStyle w:val="Header"/>
      <w:jc w:val="right"/>
      <w:rPr>
        <w:sz w:val="20"/>
      </w:rPr>
    </w:pPr>
    <w:r>
      <w:rPr>
        <w:sz w:val="20"/>
      </w:rPr>
      <w:t xml:space="preserve">July </w:t>
    </w:r>
    <w:r w:rsidR="008C002C">
      <w:rPr>
        <w:sz w:val="20"/>
      </w:rPr>
      <w:t>20</w:t>
    </w:r>
    <w:r w:rsidR="008D385B">
      <w:rPr>
        <w:sz w:val="20"/>
      </w:rPr>
      <w:t>20</w:t>
    </w:r>
  </w:p>
  <w:p w14:paraId="2818A4C3" w14:textId="60118E83" w:rsidR="00853560" w:rsidRPr="00400E84" w:rsidRDefault="008C002C" w:rsidP="00400E84">
    <w:pPr>
      <w:pStyle w:val="Header"/>
      <w:jc w:val="right"/>
      <w:rPr>
        <w:sz w:val="20"/>
      </w:rPr>
    </w:pPr>
    <w:r>
      <w:rPr>
        <w:sz w:val="20"/>
      </w:rPr>
      <w:t xml:space="preserve">Version </w:t>
    </w:r>
    <w:r w:rsidR="008D385B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CA"/>
    <w:multiLevelType w:val="hybridMultilevel"/>
    <w:tmpl w:val="260AB2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D"/>
    <w:rsid w:val="00024081"/>
    <w:rsid w:val="000444C0"/>
    <w:rsid w:val="000E4830"/>
    <w:rsid w:val="001A3B50"/>
    <w:rsid w:val="001E115F"/>
    <w:rsid w:val="00261F08"/>
    <w:rsid w:val="00265183"/>
    <w:rsid w:val="002A502F"/>
    <w:rsid w:val="00360217"/>
    <w:rsid w:val="00400E84"/>
    <w:rsid w:val="00482722"/>
    <w:rsid w:val="004A0BAD"/>
    <w:rsid w:val="004A25C4"/>
    <w:rsid w:val="004C2290"/>
    <w:rsid w:val="0053563F"/>
    <w:rsid w:val="005D4B9A"/>
    <w:rsid w:val="007B73D0"/>
    <w:rsid w:val="007F3B86"/>
    <w:rsid w:val="008071FF"/>
    <w:rsid w:val="00853560"/>
    <w:rsid w:val="008B00E3"/>
    <w:rsid w:val="008C002C"/>
    <w:rsid w:val="008D385B"/>
    <w:rsid w:val="00904B77"/>
    <w:rsid w:val="009B6AF0"/>
    <w:rsid w:val="00A33CEA"/>
    <w:rsid w:val="00B85A27"/>
    <w:rsid w:val="00BA0DC6"/>
    <w:rsid w:val="00BC3D22"/>
    <w:rsid w:val="00C12558"/>
    <w:rsid w:val="00C742AE"/>
    <w:rsid w:val="00CF147F"/>
    <w:rsid w:val="00D508BC"/>
    <w:rsid w:val="00D76AD1"/>
    <w:rsid w:val="00E67BCA"/>
    <w:rsid w:val="00EC358A"/>
    <w:rsid w:val="00F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3C62"/>
  <w15:chartTrackingRefBased/>
  <w15:docId w15:val="{08A44AE8-74A1-4C4E-BB8B-D0ED1BC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560"/>
    <w:pPr>
      <w:keepNext/>
      <w:keepLines/>
      <w:pBdr>
        <w:bottom w:val="single" w:sz="4" w:space="1" w:color="auto"/>
      </w:pBdr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0BAD"/>
    <w:pPr>
      <w:keepNext/>
      <w:keepLines/>
      <w:spacing w:before="280" w:after="12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A0BAD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5B9BD5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BAD"/>
    <w:rPr>
      <w:rFonts w:ascii="Calibri" w:eastAsiaTheme="majorEastAsia" w:hAnsi="Calibri" w:cstheme="majorBidi"/>
      <w:b/>
      <w:bCs/>
      <w:color w:val="5B9BD5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4A0BAD"/>
    <w:rPr>
      <w:rFonts w:ascii="Calibri" w:eastAsiaTheme="majorEastAsia" w:hAnsi="Calibr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BAD"/>
    <w:pPr>
      <w:ind w:left="720"/>
      <w:contextualSpacing/>
    </w:pPr>
  </w:style>
  <w:style w:type="table" w:styleId="TableGrid">
    <w:name w:val="Table Grid"/>
    <w:basedOn w:val="TableNormal"/>
    <w:rsid w:val="004A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A0B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BAD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AD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AD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3560"/>
    <w:rPr>
      <w:rFonts w:eastAsiaTheme="majorEastAsia" w:cstheme="majorBidi"/>
      <w:b/>
      <w:color w:val="1F4E79" w:themeColor="accent1" w:themeShade="80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F6792B"/>
    <w:pPr>
      <w:widowControl w:val="0"/>
      <w:autoSpaceDE w:val="0"/>
      <w:autoSpaceDN w:val="0"/>
      <w:spacing w:before="47"/>
      <w:ind w:left="80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3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60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60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0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4B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B9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9F3E-A5F4-4E2B-AD88-696E99C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Deans</dc:creator>
  <cp:keywords/>
  <dc:description/>
  <cp:lastModifiedBy>Dalrymple, Helen</cp:lastModifiedBy>
  <cp:revision>2</cp:revision>
  <dcterms:created xsi:type="dcterms:W3CDTF">2020-08-03T14:16:00Z</dcterms:created>
  <dcterms:modified xsi:type="dcterms:W3CDTF">2020-08-03T14:16:00Z</dcterms:modified>
</cp:coreProperties>
</file>